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Sopot, dnia </w:t>
      </w:r>
      <w:r w:rsidR="002841FC" w:rsidRPr="008A5DCA">
        <w:rPr>
          <w:bCs/>
          <w:sz w:val="22"/>
          <w:szCs w:val="22"/>
        </w:rPr>
        <w:t>2</w:t>
      </w:r>
      <w:r w:rsidR="000E5839" w:rsidRPr="008A5DCA">
        <w:rPr>
          <w:bCs/>
          <w:sz w:val="22"/>
          <w:szCs w:val="22"/>
        </w:rPr>
        <w:t>1</w:t>
      </w:r>
      <w:r w:rsidR="00947FE8" w:rsidRPr="008A5DCA">
        <w:rPr>
          <w:bCs/>
          <w:sz w:val="22"/>
          <w:szCs w:val="22"/>
        </w:rPr>
        <w:t xml:space="preserve"> </w:t>
      </w:r>
      <w:r w:rsidR="005C29AB" w:rsidRPr="008A5DCA">
        <w:rPr>
          <w:bCs/>
          <w:sz w:val="22"/>
          <w:szCs w:val="22"/>
        </w:rPr>
        <w:t xml:space="preserve">grudnia </w:t>
      </w:r>
      <w:r w:rsidR="000C022B" w:rsidRPr="008A5DCA">
        <w:rPr>
          <w:bCs/>
          <w:sz w:val="22"/>
          <w:szCs w:val="22"/>
        </w:rPr>
        <w:t>2020</w:t>
      </w:r>
      <w:r w:rsidR="000C022B" w:rsidRPr="005A1283">
        <w:rPr>
          <w:bCs/>
          <w:sz w:val="22"/>
          <w:szCs w:val="22"/>
        </w:rPr>
        <w:t xml:space="preserve"> r.</w:t>
      </w:r>
    </w:p>
    <w:p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  <w:r w:rsidR="002841FC">
        <w:rPr>
          <w:b/>
          <w:bCs/>
          <w:sz w:val="22"/>
          <w:szCs w:val="22"/>
        </w:rPr>
        <w:t xml:space="preserve"> </w:t>
      </w:r>
    </w:p>
    <w:p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:rsidR="00947FE8" w:rsidRDefault="00A8345A" w:rsidP="00947FE8">
      <w:pPr>
        <w:pStyle w:val="NormalnyWeb"/>
        <w:spacing w:before="0" w:beforeAutospacing="0" w:after="0" w:afterAutospacing="0" w:line="276" w:lineRule="auto"/>
        <w:jc w:val="center"/>
      </w:pPr>
      <w:r>
        <w:t>Sondy wieloparametrowej jakości wody</w:t>
      </w:r>
      <w:r w:rsidR="00947FE8">
        <w:t xml:space="preserve"> </w:t>
      </w:r>
      <w:r w:rsidR="00EF7C37" w:rsidRPr="008A5DCA">
        <w:t>– postępowanie powtórzone</w:t>
      </w:r>
    </w:p>
    <w:p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</w:t>
      </w:r>
      <w:r w:rsidR="00734837">
        <w:rPr>
          <w:bCs/>
          <w:sz w:val="22"/>
          <w:szCs w:val="22"/>
        </w:rPr>
        <w:t xml:space="preserve"> </w:t>
      </w:r>
      <w:r w:rsidR="00734837" w:rsidRPr="00734837">
        <w:rPr>
          <w:sz w:val="22"/>
          <w:szCs w:val="22"/>
        </w:rPr>
        <w:t>Sondy wieloparametrowej jakości wody</w:t>
      </w:r>
      <w:r w:rsidR="00187006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:rsidR="00734837" w:rsidRPr="00734837" w:rsidRDefault="00734837" w:rsidP="00734837">
      <w:pPr>
        <w:shd w:val="clear" w:color="auto" w:fill="FFFFFF"/>
        <w:suppressAutoHyphens/>
        <w:autoSpaceDE w:val="0"/>
        <w:ind w:left="360"/>
        <w:jc w:val="both"/>
      </w:pPr>
    </w:p>
    <w:p w:rsidR="00BC2504" w:rsidRPr="0032486A" w:rsidRDefault="00BC2504" w:rsidP="000E5839">
      <w:pPr>
        <w:pStyle w:val="Akapitzlist"/>
        <w:shd w:val="clear" w:color="auto" w:fill="FFFFFF"/>
        <w:suppressAutoHyphens/>
        <w:autoSpaceDE w:val="0"/>
        <w:jc w:val="both"/>
      </w:pPr>
      <w:r w:rsidRPr="0032486A">
        <w:rPr>
          <w:bCs/>
          <w:sz w:val="22"/>
          <w:szCs w:val="22"/>
        </w:rPr>
        <w:t>Sonda wieloparametryczna do pomiarów jakości wody</w:t>
      </w:r>
      <w:r w:rsidR="0052564C" w:rsidRPr="0032486A">
        <w:rPr>
          <w:bCs/>
          <w:sz w:val="22"/>
          <w:szCs w:val="22"/>
        </w:rPr>
        <w:t xml:space="preserve">: </w:t>
      </w:r>
      <w:r w:rsidR="009D047D" w:rsidRPr="0032486A">
        <w:rPr>
          <w:bCs/>
          <w:sz w:val="22"/>
          <w:szCs w:val="22"/>
        </w:rPr>
        <w:t xml:space="preserve">Urządzenie do pomiaru następujących parametrów jakości wody </w:t>
      </w:r>
      <w:proofErr w:type="spellStart"/>
      <w:r w:rsidR="009D047D" w:rsidRPr="0032486A">
        <w:rPr>
          <w:bCs/>
          <w:sz w:val="22"/>
          <w:szCs w:val="22"/>
        </w:rPr>
        <w:t>pH</w:t>
      </w:r>
      <w:proofErr w:type="spellEnd"/>
      <w:r w:rsidR="009D047D" w:rsidRPr="0032486A">
        <w:rPr>
          <w:bCs/>
          <w:sz w:val="22"/>
          <w:szCs w:val="22"/>
        </w:rPr>
        <w:t xml:space="preserve"> / </w:t>
      </w:r>
      <w:proofErr w:type="spellStart"/>
      <w:r w:rsidR="009D047D" w:rsidRPr="0032486A">
        <w:rPr>
          <w:bCs/>
          <w:sz w:val="22"/>
          <w:szCs w:val="22"/>
        </w:rPr>
        <w:t>pH</w:t>
      </w:r>
      <w:proofErr w:type="spellEnd"/>
      <w:r w:rsidR="009D047D" w:rsidRPr="0032486A">
        <w:rPr>
          <w:bCs/>
          <w:sz w:val="22"/>
          <w:szCs w:val="22"/>
        </w:rPr>
        <w:t xml:space="preserve"> w </w:t>
      </w:r>
      <w:proofErr w:type="spellStart"/>
      <w:r w:rsidR="009D047D" w:rsidRPr="0032486A">
        <w:rPr>
          <w:bCs/>
          <w:sz w:val="22"/>
          <w:szCs w:val="22"/>
        </w:rPr>
        <w:t>mV</w:t>
      </w:r>
      <w:proofErr w:type="spellEnd"/>
      <w:r w:rsidR="009D047D" w:rsidRPr="0032486A">
        <w:rPr>
          <w:bCs/>
          <w:sz w:val="22"/>
          <w:szCs w:val="22"/>
        </w:rPr>
        <w:t xml:space="preserve"> / </w:t>
      </w:r>
      <w:proofErr w:type="spellStart"/>
      <w:r w:rsidR="009D047D" w:rsidRPr="0032486A">
        <w:rPr>
          <w:bCs/>
          <w:sz w:val="22"/>
          <w:szCs w:val="22"/>
        </w:rPr>
        <w:t>Redox</w:t>
      </w:r>
      <w:proofErr w:type="spellEnd"/>
      <w:r w:rsidR="009D047D" w:rsidRPr="0032486A">
        <w:rPr>
          <w:bCs/>
          <w:sz w:val="22"/>
          <w:szCs w:val="22"/>
        </w:rPr>
        <w:t xml:space="preserve"> / NH4 / CI / NO3 / EC / TDS / Opór /Zasolenie / Ciężar właściwy wody morskiej / Mętność /Tlen Rozpuszczony / Temperatura / Ciśnienie atmosferyczne z funkcją wyszukiwania i systemem GPS. Czujnik  przewodności / mętności  zgodny z EN ISO 7027• Niezależna   sonda z funkcją   pozyskiwania danych Trwała i wodoszczelna   obudowa IP 68• automatyczna   identyfikacja czujników  i elektrod•  możliwość wymiany   czujników i elektrod na   miejscu pomiarów. Wyposażona w Moduł azotyny, moduł chlorki </w:t>
      </w:r>
      <w:r w:rsidR="0032486A" w:rsidRPr="0032486A">
        <w:rPr>
          <w:bCs/>
          <w:sz w:val="22"/>
          <w:szCs w:val="22"/>
        </w:rPr>
        <w:t xml:space="preserve">oraz </w:t>
      </w:r>
      <w:r w:rsidR="009D047D" w:rsidRPr="0032486A">
        <w:rPr>
          <w:bCs/>
          <w:sz w:val="22"/>
          <w:szCs w:val="22"/>
        </w:rPr>
        <w:t>moduł amoniak</w:t>
      </w:r>
      <w:r w:rsidR="0032486A">
        <w:rPr>
          <w:bCs/>
          <w:sz w:val="22"/>
          <w:szCs w:val="22"/>
        </w:rPr>
        <w:t xml:space="preserve">. </w:t>
      </w:r>
    </w:p>
    <w:p w:rsidR="0032486A" w:rsidRDefault="0032486A" w:rsidP="0032486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BC2504">
        <w:rPr>
          <w:bCs/>
          <w:sz w:val="22"/>
          <w:szCs w:val="22"/>
        </w:rPr>
        <w:t>Sprzęt przykładowy spełniający w/w kryteria:</w:t>
      </w:r>
      <w:r>
        <w:rPr>
          <w:bCs/>
          <w:sz w:val="22"/>
          <w:szCs w:val="22"/>
        </w:rPr>
        <w:t xml:space="preserve"> </w:t>
      </w:r>
      <w:r w:rsidRPr="0032486A">
        <w:rPr>
          <w:bCs/>
          <w:sz w:val="22"/>
          <w:szCs w:val="22"/>
        </w:rPr>
        <w:t xml:space="preserve">Hanna </w:t>
      </w:r>
      <w:proofErr w:type="spellStart"/>
      <w:r w:rsidRPr="0032486A">
        <w:rPr>
          <w:bCs/>
          <w:sz w:val="22"/>
          <w:szCs w:val="22"/>
        </w:rPr>
        <w:t>Ins</w:t>
      </w:r>
      <w:proofErr w:type="spellEnd"/>
      <w:r w:rsidRPr="0032486A">
        <w:rPr>
          <w:bCs/>
          <w:sz w:val="22"/>
          <w:szCs w:val="22"/>
        </w:rPr>
        <w:t xml:space="preserve"> HI 9829-13042</w:t>
      </w:r>
      <w:r>
        <w:rPr>
          <w:bCs/>
          <w:sz w:val="22"/>
          <w:szCs w:val="22"/>
        </w:rPr>
        <w:t xml:space="preserve"> </w:t>
      </w:r>
      <w:hyperlink r:id="rId8" w:anchor="specifications" w:history="1">
        <w:r w:rsidRPr="00BA3ACE">
          <w:rPr>
            <w:rStyle w:val="Hipercze"/>
            <w:bCs/>
            <w:sz w:val="22"/>
            <w:szCs w:val="22"/>
          </w:rPr>
          <w:t>https://www.hannainstruments.co.uk/hi-9829-13042-advanced-portable-multiparameter.html#specifications</w:t>
        </w:r>
      </w:hyperlink>
      <w:r>
        <w:rPr>
          <w:bCs/>
          <w:sz w:val="22"/>
          <w:szCs w:val="22"/>
        </w:rPr>
        <w:t xml:space="preserve"> </w:t>
      </w:r>
    </w:p>
    <w:p w:rsidR="0032486A" w:rsidRDefault="0032486A" w:rsidP="0032486A">
      <w:pPr>
        <w:shd w:val="clear" w:color="auto" w:fill="FFFFFF"/>
        <w:suppressAutoHyphens/>
        <w:autoSpaceDE w:val="0"/>
        <w:ind w:left="709"/>
        <w:jc w:val="both"/>
      </w:pPr>
    </w:p>
    <w:p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</w:t>
      </w:r>
      <w:proofErr w:type="spellStart"/>
      <w:r w:rsidRPr="005A1283">
        <w:rPr>
          <w:bCs/>
          <w:sz w:val="22"/>
          <w:szCs w:val="22"/>
        </w:rPr>
        <w:t>funkcjonalno</w:t>
      </w:r>
      <w:proofErr w:type="spellEnd"/>
      <w:r w:rsidRPr="005A1283">
        <w:rPr>
          <w:bCs/>
          <w:sz w:val="22"/>
          <w:szCs w:val="22"/>
        </w:rPr>
        <w:t xml:space="preserve"> - użytkowych nie gorszych niż te podane w opisie przedmiotu zamówienia.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2841FC" w:rsidRPr="008A5DCA">
        <w:rPr>
          <w:b/>
          <w:bCs/>
          <w:sz w:val="22"/>
          <w:szCs w:val="22"/>
        </w:rPr>
        <w:t>4</w:t>
      </w:r>
      <w:r w:rsidR="0052564C">
        <w:rPr>
          <w:b/>
          <w:bCs/>
          <w:sz w:val="22"/>
          <w:szCs w:val="22"/>
        </w:rPr>
        <w:t xml:space="preserve">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Warunki finansowania zamówienia i istotne warunki zamówienia</w:t>
      </w:r>
    </w:p>
    <w:p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Zapłata za dostarczony przedmiot odbywać się będzie na podstawie faktury doręczonej Instytutowi Oceanologii Polskiej Akademii Nauk w Sopocie, </w:t>
      </w:r>
      <w:r w:rsidR="002841FC" w:rsidRPr="008A5DCA">
        <w:rPr>
          <w:bCs/>
          <w:sz w:val="22"/>
          <w:szCs w:val="22"/>
        </w:rPr>
        <w:t>dopuszcza się możliwość przedpłaty (faktura proforma)</w:t>
      </w:r>
      <w:r w:rsidRPr="008A5DCA">
        <w:rPr>
          <w:bCs/>
          <w:sz w:val="22"/>
          <w:szCs w:val="22"/>
        </w:rPr>
        <w:t>.</w:t>
      </w:r>
      <w:r w:rsidRPr="005A1283">
        <w:rPr>
          <w:bCs/>
          <w:sz w:val="22"/>
          <w:szCs w:val="22"/>
        </w:rPr>
        <w:t xml:space="preserve"> </w:t>
      </w:r>
    </w:p>
    <w:p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</w:t>
      </w:r>
      <w:r w:rsidRPr="008A5DCA">
        <w:rPr>
          <w:bCs/>
          <w:sz w:val="22"/>
          <w:szCs w:val="22"/>
        </w:rPr>
        <w:t xml:space="preserve">od daty dokonania odbioru </w:t>
      </w:r>
      <w:r w:rsidR="002841FC" w:rsidRPr="008A5DCA">
        <w:rPr>
          <w:bCs/>
          <w:sz w:val="22"/>
          <w:szCs w:val="22"/>
        </w:rPr>
        <w:t>zamówienia</w:t>
      </w:r>
      <w:r w:rsidRPr="008A5DCA">
        <w:rPr>
          <w:bCs/>
          <w:sz w:val="22"/>
          <w:szCs w:val="22"/>
        </w:rPr>
        <w:t xml:space="preserve"> bez zastrzeżeń </w:t>
      </w:r>
      <w:r w:rsidRPr="005A1283">
        <w:rPr>
          <w:bCs/>
          <w:sz w:val="22"/>
          <w:szCs w:val="22"/>
        </w:rPr>
        <w:t xml:space="preserve">oraz po otrzymaniu faktury prawidłowo wystawionej przez Wykonawcę. </w:t>
      </w:r>
    </w:p>
    <w:p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Ceną danej oferty jest kwota wyrażona w złotych polskich zawierająca podatek od towarów i usług (VAT).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:rsidR="000C022B" w:rsidRPr="002841FC" w:rsidRDefault="008A5DCA" w:rsidP="008A5DCA">
      <w:pPr>
        <w:pStyle w:val="Akapitzlist"/>
        <w:suppressAutoHyphens/>
        <w:ind w:left="426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>1.</w:t>
      </w:r>
      <w:r w:rsidR="000C022B" w:rsidRPr="005A1283">
        <w:rPr>
          <w:bCs/>
          <w:sz w:val="22"/>
          <w:szCs w:val="22"/>
        </w:rPr>
        <w:t xml:space="preserve">Ofertę należy złożyć w nieprzekraczalnym terminie do dnia </w:t>
      </w:r>
      <w:r w:rsidR="002841FC" w:rsidRPr="008A5DCA">
        <w:rPr>
          <w:b/>
          <w:bCs/>
          <w:sz w:val="22"/>
          <w:szCs w:val="22"/>
          <w:u w:val="single"/>
        </w:rPr>
        <w:t>28</w:t>
      </w:r>
      <w:r w:rsidR="000C022B" w:rsidRPr="008A5DCA">
        <w:rPr>
          <w:b/>
          <w:bCs/>
          <w:sz w:val="22"/>
          <w:szCs w:val="22"/>
          <w:u w:val="single"/>
        </w:rPr>
        <w:t>.</w:t>
      </w:r>
      <w:r w:rsidR="005C29AB" w:rsidRPr="008A5DCA">
        <w:rPr>
          <w:b/>
          <w:bCs/>
          <w:sz w:val="22"/>
          <w:szCs w:val="22"/>
          <w:u w:val="single"/>
        </w:rPr>
        <w:t>12.2020</w:t>
      </w:r>
      <w:r w:rsidR="005C29AB" w:rsidRPr="00600BA3">
        <w:rPr>
          <w:b/>
          <w:bCs/>
          <w:sz w:val="22"/>
          <w:szCs w:val="22"/>
          <w:u w:val="single"/>
        </w:rPr>
        <w:t xml:space="preserve"> r. do godz. 10</w:t>
      </w:r>
      <w:r w:rsidR="000C022B" w:rsidRPr="00600BA3">
        <w:rPr>
          <w:b/>
          <w:bCs/>
          <w:sz w:val="22"/>
          <w:szCs w:val="22"/>
          <w:u w:val="single"/>
        </w:rPr>
        <w:t>:0</w:t>
      </w:r>
      <w:r w:rsidR="000C022B" w:rsidRPr="005A1283">
        <w:rPr>
          <w:b/>
          <w:bCs/>
          <w:sz w:val="22"/>
          <w:szCs w:val="22"/>
        </w:rPr>
        <w:t xml:space="preserve">0 </w:t>
      </w:r>
      <w:r w:rsidR="000C022B" w:rsidRPr="005A1283">
        <w:rPr>
          <w:bCs/>
          <w:sz w:val="22"/>
          <w:szCs w:val="22"/>
        </w:rPr>
        <w:t xml:space="preserve">pocztą elektroniczną na adres – </w:t>
      </w:r>
      <w:r w:rsidR="002841FC" w:rsidRPr="008A5DCA">
        <w:rPr>
          <w:b/>
          <w:bCs/>
          <w:sz w:val="22"/>
          <w:szCs w:val="22"/>
        </w:rPr>
        <w:t>limag</w:t>
      </w:r>
      <w:r w:rsidR="000C022B" w:rsidRPr="008A5DCA">
        <w:rPr>
          <w:b/>
          <w:bCs/>
          <w:sz w:val="22"/>
          <w:szCs w:val="22"/>
        </w:rPr>
        <w:t>@iopan.pl</w:t>
      </w:r>
    </w:p>
    <w:p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r w:rsidR="0052564C">
        <w:rPr>
          <w:b/>
          <w:bCs/>
          <w:sz w:val="22"/>
          <w:szCs w:val="22"/>
        </w:rPr>
        <w:t xml:space="preserve">sprzętu </w:t>
      </w:r>
      <w:r w:rsidR="000E5839">
        <w:rPr>
          <w:b/>
          <w:sz w:val="22"/>
          <w:szCs w:val="22"/>
        </w:rPr>
        <w:t>s</w:t>
      </w:r>
      <w:r w:rsidR="000E5839" w:rsidRPr="000E5839">
        <w:rPr>
          <w:b/>
          <w:sz w:val="22"/>
          <w:szCs w:val="22"/>
        </w:rPr>
        <w:t>ondy wieloparametrowej</w:t>
      </w:r>
      <w:r w:rsidRPr="005A1283">
        <w:rPr>
          <w:bCs/>
          <w:sz w:val="22"/>
          <w:szCs w:val="22"/>
        </w:rPr>
        <w:t>”.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0" w:name="mip33167564"/>
      <w:bookmarkStart w:id="1" w:name="mip33167565"/>
      <w:bookmarkStart w:id="2" w:name="mip35518268"/>
      <w:bookmarkStart w:id="3" w:name="mip35518269"/>
      <w:bookmarkStart w:id="4" w:name="mip35518270"/>
      <w:bookmarkStart w:id="5" w:name="mip33167567"/>
      <w:bookmarkStart w:id="6" w:name="mip35518261"/>
      <w:bookmarkStart w:id="7" w:name="mip33167559"/>
      <w:bookmarkStart w:id="8" w:name="mip33167552"/>
      <w:bookmarkStart w:id="9" w:name="mip33167553"/>
      <w:bookmarkStart w:id="10" w:name="mip33167554"/>
      <w:bookmarkStart w:id="11" w:name="mip33167555"/>
      <w:bookmarkStart w:id="12" w:name="mip33167556"/>
      <w:bookmarkStart w:id="13" w:name="mip33167557"/>
      <w:bookmarkStart w:id="14" w:name="mip33167558"/>
      <w:bookmarkStart w:id="15" w:name="mip355182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9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D4" w:rsidRDefault="002E6AD4">
      <w:r>
        <w:separator/>
      </w:r>
    </w:p>
  </w:endnote>
  <w:endnote w:type="continuationSeparator" w:id="0">
    <w:p w:rsidR="002E6AD4" w:rsidRDefault="002E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F7C3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D4" w:rsidRDefault="002E6AD4">
      <w:r>
        <w:separator/>
      </w:r>
    </w:p>
  </w:footnote>
  <w:footnote w:type="continuationSeparator" w:id="0">
    <w:p w:rsidR="002E6AD4" w:rsidRDefault="002E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6331A"/>
    <w:rsid w:val="00080BDD"/>
    <w:rsid w:val="00095E49"/>
    <w:rsid w:val="000B0959"/>
    <w:rsid w:val="000B28DA"/>
    <w:rsid w:val="000B4C61"/>
    <w:rsid w:val="000C022B"/>
    <w:rsid w:val="000D7086"/>
    <w:rsid w:val="000E096C"/>
    <w:rsid w:val="000E5839"/>
    <w:rsid w:val="000E79D9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4D9E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60B"/>
    <w:rsid w:val="001F5E22"/>
    <w:rsid w:val="0020118A"/>
    <w:rsid w:val="002266CA"/>
    <w:rsid w:val="0022790A"/>
    <w:rsid w:val="00234CEA"/>
    <w:rsid w:val="0025145C"/>
    <w:rsid w:val="0026635F"/>
    <w:rsid w:val="00276509"/>
    <w:rsid w:val="002841FC"/>
    <w:rsid w:val="002A302A"/>
    <w:rsid w:val="002C05F1"/>
    <w:rsid w:val="002D0060"/>
    <w:rsid w:val="002D67FC"/>
    <w:rsid w:val="002D7931"/>
    <w:rsid w:val="002E5D16"/>
    <w:rsid w:val="002E6AD4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0C27"/>
    <w:rsid w:val="003D14E7"/>
    <w:rsid w:val="003D7E76"/>
    <w:rsid w:val="003F2705"/>
    <w:rsid w:val="003F59D7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899"/>
    <w:rsid w:val="00607D81"/>
    <w:rsid w:val="0062219C"/>
    <w:rsid w:val="0063259C"/>
    <w:rsid w:val="00655A59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4837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738B"/>
    <w:rsid w:val="007C70C5"/>
    <w:rsid w:val="007C7FB8"/>
    <w:rsid w:val="007D2F16"/>
    <w:rsid w:val="007F014E"/>
    <w:rsid w:val="007F7190"/>
    <w:rsid w:val="008245A4"/>
    <w:rsid w:val="008257D8"/>
    <w:rsid w:val="00833338"/>
    <w:rsid w:val="00833502"/>
    <w:rsid w:val="008341B6"/>
    <w:rsid w:val="00841009"/>
    <w:rsid w:val="0084112A"/>
    <w:rsid w:val="00845832"/>
    <w:rsid w:val="00875F81"/>
    <w:rsid w:val="00883207"/>
    <w:rsid w:val="008A39A0"/>
    <w:rsid w:val="008A5DCA"/>
    <w:rsid w:val="008B483D"/>
    <w:rsid w:val="008C723D"/>
    <w:rsid w:val="008E0510"/>
    <w:rsid w:val="008E67F4"/>
    <w:rsid w:val="008E7574"/>
    <w:rsid w:val="008F12FE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47BD7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71C91"/>
    <w:rsid w:val="00C77FBC"/>
    <w:rsid w:val="00C85EB0"/>
    <w:rsid w:val="00C86BAB"/>
    <w:rsid w:val="00C97F93"/>
    <w:rsid w:val="00CA1749"/>
    <w:rsid w:val="00CF1D61"/>
    <w:rsid w:val="00D01E17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237D"/>
    <w:rsid w:val="00E05FA3"/>
    <w:rsid w:val="00E0771B"/>
    <w:rsid w:val="00E44BA6"/>
    <w:rsid w:val="00E45BCC"/>
    <w:rsid w:val="00E4767E"/>
    <w:rsid w:val="00E50F4A"/>
    <w:rsid w:val="00E567A0"/>
    <w:rsid w:val="00E62D1F"/>
    <w:rsid w:val="00E63001"/>
    <w:rsid w:val="00E724CD"/>
    <w:rsid w:val="00E73DB2"/>
    <w:rsid w:val="00E77E57"/>
    <w:rsid w:val="00E812F6"/>
    <w:rsid w:val="00E82AA2"/>
    <w:rsid w:val="00E86302"/>
    <w:rsid w:val="00EA198F"/>
    <w:rsid w:val="00EA31E6"/>
    <w:rsid w:val="00EB55E2"/>
    <w:rsid w:val="00EB7F19"/>
    <w:rsid w:val="00EE521B"/>
    <w:rsid w:val="00EE7581"/>
    <w:rsid w:val="00EF386A"/>
    <w:rsid w:val="00EF7C37"/>
    <w:rsid w:val="00F10680"/>
    <w:rsid w:val="00F22D10"/>
    <w:rsid w:val="00F26CA7"/>
    <w:rsid w:val="00F3179A"/>
    <w:rsid w:val="00F43C1F"/>
    <w:rsid w:val="00F62FC3"/>
    <w:rsid w:val="00F6408F"/>
    <w:rsid w:val="00F71EC1"/>
    <w:rsid w:val="00F736D4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nainstruments.co.uk/hi-9829-13042-advanced-portable-multiparamet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C918-D0E9-4139-83EA-7BC1B8A1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</TotalTime>
  <Pages>1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I O</cp:lastModifiedBy>
  <cp:revision>2</cp:revision>
  <cp:lastPrinted>2020-04-08T10:57:00Z</cp:lastPrinted>
  <dcterms:created xsi:type="dcterms:W3CDTF">2020-12-21T12:24:00Z</dcterms:created>
  <dcterms:modified xsi:type="dcterms:W3CDTF">2020-12-21T12:24:00Z</dcterms:modified>
</cp:coreProperties>
</file>