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F998" w14:textId="34CB2D7E"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  <w:t xml:space="preserve">Sopot, dnia </w:t>
      </w:r>
      <w:r w:rsidR="00F50377">
        <w:rPr>
          <w:bCs/>
          <w:sz w:val="22"/>
          <w:szCs w:val="22"/>
        </w:rPr>
        <w:t xml:space="preserve">11 </w:t>
      </w:r>
      <w:r w:rsidR="005C29AB">
        <w:rPr>
          <w:bCs/>
          <w:sz w:val="22"/>
          <w:szCs w:val="22"/>
        </w:rPr>
        <w:t xml:space="preserve">grudnia </w:t>
      </w:r>
      <w:r w:rsidR="000C022B" w:rsidRPr="005A1283">
        <w:rPr>
          <w:bCs/>
          <w:sz w:val="22"/>
          <w:szCs w:val="22"/>
        </w:rPr>
        <w:t>2020 r.</w:t>
      </w:r>
    </w:p>
    <w:p w14:paraId="794C18FA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14:paraId="77672A13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</w:p>
    <w:p w14:paraId="4BC61376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14:paraId="63589ECE" w14:textId="73D0C2CA"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14:paraId="0846B201" w14:textId="386CFDA1" w:rsidR="003B1214" w:rsidRDefault="00947FE8" w:rsidP="003B1214">
      <w:pPr>
        <w:pStyle w:val="NormalnyWeb"/>
        <w:spacing w:before="0" w:beforeAutospacing="0" w:after="0" w:afterAutospacing="0" w:line="276" w:lineRule="auto"/>
        <w:jc w:val="center"/>
      </w:pPr>
      <w:r>
        <w:t>Windy ręcznej naburtowej</w:t>
      </w:r>
    </w:p>
    <w:p w14:paraId="667C7318" w14:textId="7565F443"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14:paraId="4F585056" w14:textId="77777777"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14:paraId="0A0ECD4F" w14:textId="77777777"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14:paraId="74E70FE9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14:paraId="5F5A5108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14:paraId="26E3959F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14:paraId="03EFB5F4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14:paraId="1E24062B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14:paraId="670D5FC2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14:paraId="071F81E7" w14:textId="77777777"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14:paraId="5EC7280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14:paraId="5E587B11" w14:textId="3E818962"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dostarczenie:</w:t>
      </w:r>
      <w:r w:rsidR="00187006">
        <w:rPr>
          <w:bCs/>
          <w:sz w:val="22"/>
          <w:szCs w:val="22"/>
        </w:rPr>
        <w:t xml:space="preserve"> </w:t>
      </w:r>
      <w:r w:rsidRPr="00F50377">
        <w:rPr>
          <w:bCs/>
          <w:sz w:val="22"/>
          <w:szCs w:val="22"/>
        </w:rPr>
        <w:t>Windy ręcznej naburtowej</w:t>
      </w:r>
      <w:r>
        <w:t xml:space="preserve">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14:paraId="29AF3435" w14:textId="13148193"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14:paraId="14BBAD9C" w14:textId="77777777" w:rsidR="003B1214" w:rsidRDefault="003B1214" w:rsidP="003B1214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0585DD77" w14:textId="601A07EB" w:rsidR="009E3768" w:rsidRPr="00455D8A" w:rsidRDefault="0052564C" w:rsidP="00656DB7">
      <w:pPr>
        <w:pStyle w:val="Akapitzlist"/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  <w:r w:rsidRPr="00455D8A">
        <w:rPr>
          <w:bCs/>
          <w:sz w:val="22"/>
          <w:szCs w:val="22"/>
        </w:rPr>
        <w:t xml:space="preserve">Windy ręcznej naburtowej  </w:t>
      </w:r>
      <w:r w:rsidR="007A1886" w:rsidRPr="00455D8A">
        <w:rPr>
          <w:bCs/>
          <w:sz w:val="22"/>
          <w:szCs w:val="22"/>
        </w:rPr>
        <w:t>o parametrach</w:t>
      </w:r>
      <w:r w:rsidRPr="00455D8A">
        <w:rPr>
          <w:bCs/>
          <w:sz w:val="22"/>
          <w:szCs w:val="22"/>
        </w:rPr>
        <w:t xml:space="preserve">: </w:t>
      </w:r>
      <w:r w:rsidR="00455D8A" w:rsidRPr="00455D8A">
        <w:rPr>
          <w:bCs/>
          <w:sz w:val="22"/>
          <w:szCs w:val="22"/>
        </w:rPr>
        <w:t>Wyciągarka ręczna, narzędzie do obsługi instrumentów hydrometrycznych i limnologicznych</w:t>
      </w:r>
      <w:r w:rsidR="00455D8A">
        <w:rPr>
          <w:bCs/>
          <w:sz w:val="22"/>
          <w:szCs w:val="22"/>
        </w:rPr>
        <w:t>.</w:t>
      </w:r>
      <w:r w:rsidR="00455D8A" w:rsidRPr="00455D8A">
        <w:rPr>
          <w:bCs/>
          <w:sz w:val="22"/>
          <w:szCs w:val="22"/>
        </w:rPr>
        <w:t xml:space="preserve"> Wciągarka wykonana jest z aluminium odpornego na wodę morską i dodatkowo zabezpieczona przed korozją poprzez emaliowanie.</w:t>
      </w:r>
      <w:r w:rsidR="00455D8A">
        <w:rPr>
          <w:bCs/>
          <w:sz w:val="22"/>
          <w:szCs w:val="22"/>
        </w:rPr>
        <w:t xml:space="preserve"> Ł</w:t>
      </w:r>
      <w:r w:rsidR="00455D8A" w:rsidRPr="00455D8A">
        <w:rPr>
          <w:bCs/>
          <w:sz w:val="22"/>
          <w:szCs w:val="22"/>
        </w:rPr>
        <w:t xml:space="preserve">atwe mocowanie do </w:t>
      </w:r>
      <w:r w:rsidR="00455D8A">
        <w:rPr>
          <w:bCs/>
          <w:sz w:val="22"/>
          <w:szCs w:val="22"/>
        </w:rPr>
        <w:t>burty</w:t>
      </w:r>
      <w:r w:rsidR="00455D8A" w:rsidRPr="00455D8A">
        <w:rPr>
          <w:bCs/>
          <w:sz w:val="22"/>
          <w:szCs w:val="22"/>
        </w:rPr>
        <w:t xml:space="preserve"> łodzi. </w:t>
      </w:r>
      <w:r w:rsidR="00455D8A">
        <w:rPr>
          <w:bCs/>
          <w:sz w:val="22"/>
          <w:szCs w:val="22"/>
        </w:rPr>
        <w:t xml:space="preserve">Wyposażona w licznik wydanej liny wraz z 100 metrową linką stalową o średnicy 2.5mm. </w:t>
      </w:r>
    </w:p>
    <w:p w14:paraId="10003064" w14:textId="77777777" w:rsidR="003B1214" w:rsidRDefault="003B1214" w:rsidP="00455D8A">
      <w:pPr>
        <w:pStyle w:val="Akapitzlist"/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61AEA546" w14:textId="1984A023" w:rsidR="00455D8A" w:rsidRDefault="00455D8A" w:rsidP="00455D8A">
      <w:pPr>
        <w:pStyle w:val="Akapitzlist"/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Sprzęt przykładowy spełniający w/w kryteria</w:t>
      </w:r>
      <w:r w:rsidR="00DD3AA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Winda ręczna z rączką z jednej strony, wyposażona w linkę stalową firmy Hydrobios </w:t>
      </w:r>
      <w:hyperlink r:id="rId7" w:history="1">
        <w:r w:rsidRPr="00BA3ACE">
          <w:rPr>
            <w:rStyle w:val="Hipercze"/>
            <w:bCs/>
            <w:sz w:val="22"/>
            <w:szCs w:val="22"/>
          </w:rPr>
          <w:t>https://www.hydrobios.de/shop/misc-instruments/hand-winch/</w:t>
        </w:r>
      </w:hyperlink>
    </w:p>
    <w:p w14:paraId="3F0F8958" w14:textId="77777777" w:rsidR="00455D8A" w:rsidRPr="00C12EB8" w:rsidRDefault="00455D8A" w:rsidP="00455D8A">
      <w:pPr>
        <w:pStyle w:val="Akapitzlist"/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</w:p>
    <w:p w14:paraId="5090739A" w14:textId="77777777"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7B8DD2FA" w14:textId="536A1D92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funkcjonalno - użytkowych nie gorszych niż te podane w opisie przedmiotu zamówienia.</w:t>
      </w:r>
    </w:p>
    <w:p w14:paraId="0AE3BC3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14:paraId="5DB8DD34" w14:textId="62C226C9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14:paraId="180AEF7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14:paraId="76910DA1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14:paraId="35C4C72F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14:paraId="591A2CEA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14:paraId="5C39FADA" w14:textId="664F0983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52564C">
        <w:rPr>
          <w:b/>
          <w:bCs/>
          <w:sz w:val="22"/>
          <w:szCs w:val="22"/>
        </w:rPr>
        <w:t xml:space="preserve">2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14:paraId="375961FA" w14:textId="77777777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14:paraId="7B10730E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Warunki finansowania zamówienia i istotne warunki zamówienia</w:t>
      </w:r>
    </w:p>
    <w:p w14:paraId="40DBB474" w14:textId="41F0BE6C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lastRenderedPageBreak/>
        <w:t xml:space="preserve">Zapłata za dostarczony przedmiot odbywać się będzie na podstawie faktury doręczonej Instytutowi Oceanologii Polskiej Akademii Nauk w Sopocie, po podpisaniu przez Zamawiającego bez zastrzeżeń protokołu odbioru przedmiotu umowy. </w:t>
      </w:r>
    </w:p>
    <w:p w14:paraId="47A6AFCA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60B2B69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312BEE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14:paraId="252C6A7A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14:paraId="33FD89A3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14:paraId="2095F85A" w14:textId="77777777"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14:paraId="346548C6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Ceną danej oferty jest kwota wyrażona w złotych polskich zawierająca podatek od towarów i usług (VAT).</w:t>
      </w:r>
    </w:p>
    <w:p w14:paraId="2CA590A0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14:paraId="66AA028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330861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14:paraId="3D3A2CFE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14:paraId="7BDCD5C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14:paraId="62021466" w14:textId="5CA705F3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Ofertę należy złożyć w nieprzekraczalnym terminie do dnia </w:t>
      </w:r>
      <w:r w:rsidRPr="00600BA3">
        <w:rPr>
          <w:b/>
          <w:bCs/>
          <w:sz w:val="22"/>
          <w:szCs w:val="22"/>
          <w:u w:val="single"/>
        </w:rPr>
        <w:t>1</w:t>
      </w:r>
      <w:r w:rsidR="0052564C">
        <w:rPr>
          <w:b/>
          <w:bCs/>
          <w:sz w:val="22"/>
          <w:szCs w:val="22"/>
          <w:u w:val="single"/>
        </w:rPr>
        <w:t>5</w:t>
      </w:r>
      <w:r w:rsidRPr="00600BA3">
        <w:rPr>
          <w:b/>
          <w:bCs/>
          <w:sz w:val="22"/>
          <w:szCs w:val="22"/>
          <w:u w:val="single"/>
        </w:rPr>
        <w:t>.</w:t>
      </w:r>
      <w:r w:rsidR="005C29AB" w:rsidRPr="00600BA3">
        <w:rPr>
          <w:b/>
          <w:bCs/>
          <w:sz w:val="22"/>
          <w:szCs w:val="22"/>
          <w:u w:val="single"/>
        </w:rPr>
        <w:t>12.2020 r. do godz. 10</w:t>
      </w:r>
      <w:r w:rsidRPr="00600BA3">
        <w:rPr>
          <w:b/>
          <w:bCs/>
          <w:sz w:val="22"/>
          <w:szCs w:val="22"/>
          <w:u w:val="single"/>
        </w:rPr>
        <w:t>:0</w:t>
      </w:r>
      <w:r w:rsidRPr="005A1283">
        <w:rPr>
          <w:b/>
          <w:bCs/>
          <w:sz w:val="22"/>
          <w:szCs w:val="22"/>
        </w:rPr>
        <w:t xml:space="preserve">0 </w:t>
      </w:r>
      <w:r w:rsidRPr="005A1283">
        <w:rPr>
          <w:bCs/>
          <w:sz w:val="22"/>
          <w:szCs w:val="22"/>
        </w:rPr>
        <w:t xml:space="preserve">pocztą elektroniczną na adres – </w:t>
      </w:r>
      <w:r w:rsidR="0052564C">
        <w:rPr>
          <w:b/>
          <w:bCs/>
          <w:sz w:val="22"/>
          <w:szCs w:val="22"/>
        </w:rPr>
        <w:t>lech</w:t>
      </w:r>
      <w:r w:rsidR="008F12FE">
        <w:rPr>
          <w:b/>
          <w:bCs/>
          <w:sz w:val="22"/>
          <w:szCs w:val="22"/>
        </w:rPr>
        <w:t>k</w:t>
      </w:r>
      <w:r w:rsidRPr="005A1283">
        <w:rPr>
          <w:b/>
          <w:bCs/>
          <w:sz w:val="22"/>
          <w:szCs w:val="22"/>
        </w:rPr>
        <w:t>@iopan.pl</w:t>
      </w:r>
    </w:p>
    <w:p w14:paraId="04D5767C" w14:textId="77777777"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14:paraId="0C2F15F8" w14:textId="1654F2B0"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r w:rsidR="00F50377" w:rsidRPr="00656DB7">
        <w:rPr>
          <w:b/>
          <w:bCs/>
          <w:sz w:val="22"/>
          <w:szCs w:val="22"/>
        </w:rPr>
        <w:t>windy ręcznej naburtowej</w:t>
      </w:r>
      <w:r w:rsidRPr="005A1283">
        <w:rPr>
          <w:bCs/>
          <w:sz w:val="22"/>
          <w:szCs w:val="22"/>
        </w:rPr>
        <w:t>”.</w:t>
      </w:r>
    </w:p>
    <w:p w14:paraId="18C26F69" w14:textId="33A14730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14:paraId="7A1944BC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14:paraId="366EC946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14:paraId="64DFF723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14:paraId="7F18E921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14:paraId="79B49B02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14:paraId="3AF9258D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1" w:name="mip33167564"/>
      <w:bookmarkStart w:id="2" w:name="mip33167565"/>
      <w:bookmarkStart w:id="3" w:name="mip35518268"/>
      <w:bookmarkStart w:id="4" w:name="mip35518269"/>
      <w:bookmarkStart w:id="5" w:name="mip35518270"/>
      <w:bookmarkStart w:id="6" w:name="mip33167567"/>
      <w:bookmarkStart w:id="7" w:name="mip35518261"/>
      <w:bookmarkStart w:id="8" w:name="mip33167559"/>
      <w:bookmarkStart w:id="9" w:name="mip33167552"/>
      <w:bookmarkStart w:id="10" w:name="mip33167553"/>
      <w:bookmarkStart w:id="11" w:name="mip33167554"/>
      <w:bookmarkStart w:id="12" w:name="mip33167555"/>
      <w:bookmarkStart w:id="13" w:name="mip33167556"/>
      <w:bookmarkStart w:id="14" w:name="mip33167557"/>
      <w:bookmarkStart w:id="15" w:name="mip33167558"/>
      <w:bookmarkStart w:id="16" w:name="mip355182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14:paraId="032266F8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14:paraId="59D4FC4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14:paraId="5ADF14D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lastRenderedPageBreak/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14:paraId="3B30A12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14:paraId="53A23AF7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14:paraId="11BCF69E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14:paraId="194DB98F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14:paraId="55D4523A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14:paraId="4D636C8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14:paraId="7A46B79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14:paraId="05FD886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14:paraId="6A659C0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14:paraId="571F612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14:paraId="69DF003D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14:paraId="2B1913A8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14:paraId="7C13D24B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14:paraId="1F778547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14:paraId="4740BC59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14:paraId="19868E1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14:paraId="5A0576B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14:paraId="1EA9634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14:paraId="6352E8E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14:paraId="7EBE73CE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14:paraId="6B6DB060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14:paraId="6A144D88" w14:textId="77777777"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14:paraId="27EF4196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14:paraId="20B3CF8A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14:paraId="2D2DB5E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8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C6D2" w14:textId="77777777" w:rsidR="00C63FA0" w:rsidRDefault="00C63FA0">
      <w:r>
        <w:separator/>
      </w:r>
    </w:p>
  </w:endnote>
  <w:endnote w:type="continuationSeparator" w:id="0">
    <w:p w14:paraId="4532F942" w14:textId="77777777" w:rsidR="00C63FA0" w:rsidRDefault="00C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A134" w14:textId="66825625"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56D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EACA" w14:textId="77777777" w:rsidR="00C63FA0" w:rsidRDefault="00C63FA0">
      <w:r>
        <w:separator/>
      </w:r>
    </w:p>
  </w:footnote>
  <w:footnote w:type="continuationSeparator" w:id="0">
    <w:p w14:paraId="4B8DD9D7" w14:textId="77777777" w:rsidR="00C63FA0" w:rsidRDefault="00C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80BDD"/>
    <w:rsid w:val="00095E49"/>
    <w:rsid w:val="000B0959"/>
    <w:rsid w:val="000B28DA"/>
    <w:rsid w:val="000B4C61"/>
    <w:rsid w:val="000C022B"/>
    <w:rsid w:val="000D7086"/>
    <w:rsid w:val="000E096C"/>
    <w:rsid w:val="000E79D9"/>
    <w:rsid w:val="000F01EA"/>
    <w:rsid w:val="000F0BE4"/>
    <w:rsid w:val="001038BD"/>
    <w:rsid w:val="0011140B"/>
    <w:rsid w:val="00120CC9"/>
    <w:rsid w:val="001369C2"/>
    <w:rsid w:val="00151FB1"/>
    <w:rsid w:val="00152D9C"/>
    <w:rsid w:val="00153DFF"/>
    <w:rsid w:val="00166A78"/>
    <w:rsid w:val="00167461"/>
    <w:rsid w:val="00174D9E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E22"/>
    <w:rsid w:val="0020118A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1214"/>
    <w:rsid w:val="003B690F"/>
    <w:rsid w:val="003D0C27"/>
    <w:rsid w:val="003D14E7"/>
    <w:rsid w:val="003D7E76"/>
    <w:rsid w:val="003F2705"/>
    <w:rsid w:val="004074ED"/>
    <w:rsid w:val="0041333D"/>
    <w:rsid w:val="004235B7"/>
    <w:rsid w:val="00430781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899"/>
    <w:rsid w:val="00607D81"/>
    <w:rsid w:val="0062219C"/>
    <w:rsid w:val="00655A59"/>
    <w:rsid w:val="00656DB7"/>
    <w:rsid w:val="00663EE7"/>
    <w:rsid w:val="00686404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738B"/>
    <w:rsid w:val="007C70C5"/>
    <w:rsid w:val="007C7FB8"/>
    <w:rsid w:val="007D2F16"/>
    <w:rsid w:val="007F014E"/>
    <w:rsid w:val="007F7190"/>
    <w:rsid w:val="008245A4"/>
    <w:rsid w:val="008257D8"/>
    <w:rsid w:val="00833338"/>
    <w:rsid w:val="00833502"/>
    <w:rsid w:val="008341B6"/>
    <w:rsid w:val="00841009"/>
    <w:rsid w:val="0084112A"/>
    <w:rsid w:val="00845832"/>
    <w:rsid w:val="00875F81"/>
    <w:rsid w:val="00883207"/>
    <w:rsid w:val="008A39A0"/>
    <w:rsid w:val="008B483D"/>
    <w:rsid w:val="008C723D"/>
    <w:rsid w:val="008E67F4"/>
    <w:rsid w:val="008E7574"/>
    <w:rsid w:val="008F12FE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B01ED1"/>
    <w:rsid w:val="00B25832"/>
    <w:rsid w:val="00B312A9"/>
    <w:rsid w:val="00B3713C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63FA0"/>
    <w:rsid w:val="00C71C91"/>
    <w:rsid w:val="00C77FBC"/>
    <w:rsid w:val="00C85516"/>
    <w:rsid w:val="00C85EB0"/>
    <w:rsid w:val="00C86BAB"/>
    <w:rsid w:val="00C97F93"/>
    <w:rsid w:val="00CA1749"/>
    <w:rsid w:val="00CF1D61"/>
    <w:rsid w:val="00D01E17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5FA3"/>
    <w:rsid w:val="00E0771B"/>
    <w:rsid w:val="00E44BA6"/>
    <w:rsid w:val="00E45BCC"/>
    <w:rsid w:val="00E4767E"/>
    <w:rsid w:val="00E567A0"/>
    <w:rsid w:val="00E62D1F"/>
    <w:rsid w:val="00E63001"/>
    <w:rsid w:val="00E724CD"/>
    <w:rsid w:val="00E73DB2"/>
    <w:rsid w:val="00E77E57"/>
    <w:rsid w:val="00E812F6"/>
    <w:rsid w:val="00E82AA2"/>
    <w:rsid w:val="00E86302"/>
    <w:rsid w:val="00EA198F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50377"/>
    <w:rsid w:val="00F62FC3"/>
    <w:rsid w:val="00F6408F"/>
    <w:rsid w:val="00F71EC1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ydrobios.de/shop/misc-instruments/hand-win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3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xxx</cp:lastModifiedBy>
  <cp:revision>2</cp:revision>
  <cp:lastPrinted>2020-04-08T10:57:00Z</cp:lastPrinted>
  <dcterms:created xsi:type="dcterms:W3CDTF">2020-12-10T20:38:00Z</dcterms:created>
  <dcterms:modified xsi:type="dcterms:W3CDTF">2020-12-10T20:38:00Z</dcterms:modified>
</cp:coreProperties>
</file>