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F998" w14:textId="2809D3B4"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  <w:t xml:space="preserve">Sopot, dnia </w:t>
      </w:r>
      <w:r w:rsidR="00623C83">
        <w:rPr>
          <w:bCs/>
          <w:sz w:val="22"/>
          <w:szCs w:val="22"/>
        </w:rPr>
        <w:t xml:space="preserve">11 </w:t>
      </w:r>
      <w:r w:rsidR="005C29AB">
        <w:rPr>
          <w:bCs/>
          <w:sz w:val="22"/>
          <w:szCs w:val="22"/>
        </w:rPr>
        <w:t xml:space="preserve">grudnia </w:t>
      </w:r>
      <w:r w:rsidR="000C022B" w:rsidRPr="005A1283">
        <w:rPr>
          <w:bCs/>
          <w:sz w:val="22"/>
          <w:szCs w:val="22"/>
        </w:rPr>
        <w:t>2020 r.</w:t>
      </w:r>
    </w:p>
    <w:p w14:paraId="794C18FA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14:paraId="77672A13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</w:p>
    <w:p w14:paraId="4BC61376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14:paraId="63589ECE" w14:textId="73D0C2CA"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14:paraId="6CB9838B" w14:textId="3D8751EF" w:rsidR="00947FE8" w:rsidRDefault="00947FE8" w:rsidP="00947FE8">
      <w:pPr>
        <w:pStyle w:val="NormalnyWeb"/>
        <w:spacing w:before="0" w:beforeAutospacing="0" w:after="0" w:afterAutospacing="0" w:line="276" w:lineRule="auto"/>
        <w:jc w:val="center"/>
      </w:pPr>
      <w:proofErr w:type="spellStart"/>
      <w:r>
        <w:t>Drona</w:t>
      </w:r>
      <w:proofErr w:type="spellEnd"/>
      <w:r>
        <w:t xml:space="preserve"> z kamerą termowizyjną</w:t>
      </w:r>
    </w:p>
    <w:p w14:paraId="667C7318" w14:textId="7565F443"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14:paraId="4F585056" w14:textId="77777777"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14:paraId="0A0ECD4F" w14:textId="77777777"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14:paraId="74E70FE9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14:paraId="5F5A5108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14:paraId="26E3959F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14:paraId="03EFB5F4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14:paraId="1E24062B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14:paraId="670D5FC2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14:paraId="071F81E7" w14:textId="77777777"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14:paraId="5EC7280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14:paraId="5E587B11" w14:textId="52214D60"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dostarczenie:</w:t>
      </w:r>
      <w:r w:rsidR="00187006">
        <w:rPr>
          <w:bCs/>
          <w:sz w:val="22"/>
          <w:szCs w:val="22"/>
        </w:rPr>
        <w:t xml:space="preserve"> </w:t>
      </w:r>
      <w:proofErr w:type="spellStart"/>
      <w:r w:rsidRPr="00623C83">
        <w:rPr>
          <w:bCs/>
          <w:sz w:val="22"/>
          <w:szCs w:val="22"/>
        </w:rPr>
        <w:t>Drona</w:t>
      </w:r>
      <w:proofErr w:type="spellEnd"/>
      <w:r w:rsidRPr="00623C83">
        <w:rPr>
          <w:bCs/>
          <w:sz w:val="22"/>
          <w:szCs w:val="22"/>
        </w:rPr>
        <w:t xml:space="preserve"> z kamerą termowizyjną</w:t>
      </w:r>
      <w:r>
        <w:t xml:space="preserve">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14:paraId="29AF3435" w14:textId="77777777"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14:paraId="14CAA808" w14:textId="77777777" w:rsidR="00BC2504" w:rsidRDefault="00BC2504" w:rsidP="00BC2504">
      <w:pPr>
        <w:shd w:val="clear" w:color="auto" w:fill="FFFFFF"/>
        <w:suppressAutoHyphens/>
        <w:autoSpaceDE w:val="0"/>
        <w:jc w:val="both"/>
      </w:pPr>
    </w:p>
    <w:p w14:paraId="4A823F47" w14:textId="65D8305D" w:rsidR="0052564C" w:rsidRPr="002F4F7C" w:rsidRDefault="0052564C" w:rsidP="00900E07">
      <w:pPr>
        <w:pStyle w:val="Akapitzlist"/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  <w:proofErr w:type="spellStart"/>
      <w:r w:rsidRPr="00C12EB8">
        <w:rPr>
          <w:bCs/>
          <w:sz w:val="22"/>
          <w:szCs w:val="22"/>
        </w:rPr>
        <w:t>Drona</w:t>
      </w:r>
      <w:proofErr w:type="spellEnd"/>
      <w:r w:rsidRPr="00C12EB8">
        <w:rPr>
          <w:bCs/>
          <w:sz w:val="22"/>
          <w:szCs w:val="22"/>
        </w:rPr>
        <w:t xml:space="preserve"> z kamerą termowizyjną o parametrach: </w:t>
      </w:r>
    </w:p>
    <w:p w14:paraId="69F373C4" w14:textId="5C00383D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Kamera termowizyjna (pole widzenia 57 stopni)</w:t>
      </w:r>
    </w:p>
    <w:p w14:paraId="3BAD1147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Rozdzielczość kamery termowizyjnej: 160 x 120</w:t>
      </w:r>
    </w:p>
    <w:p w14:paraId="797C99EB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Kamera RGB (matryca CMOS 1/2,3'' o rozdzielczości 12 </w:t>
      </w:r>
      <w:proofErr w:type="spellStart"/>
      <w:r w:rsidRPr="002F4F7C">
        <w:rPr>
          <w:bCs/>
          <w:sz w:val="22"/>
          <w:szCs w:val="22"/>
        </w:rPr>
        <w:t>MPx</w:t>
      </w:r>
      <w:proofErr w:type="spellEnd"/>
      <w:r w:rsidRPr="002F4F7C">
        <w:rPr>
          <w:bCs/>
          <w:sz w:val="22"/>
          <w:szCs w:val="22"/>
        </w:rPr>
        <w:t>)</w:t>
      </w:r>
    </w:p>
    <w:p w14:paraId="3C29D75D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Pole widzenia kamery RGB: 85 stopni</w:t>
      </w:r>
    </w:p>
    <w:p w14:paraId="2C37E287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Modułowe akcesoria</w:t>
      </w:r>
    </w:p>
    <w:p w14:paraId="76FA236A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Zabezpieczenie za pomocą hasła</w:t>
      </w:r>
    </w:p>
    <w:p w14:paraId="752D998F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8 czujników wysokiej rozdzielczości i 2 podczerwieni</w:t>
      </w:r>
    </w:p>
    <w:p w14:paraId="267C5278" w14:textId="5A3C38CA" w:rsid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Wbudowana pamięć 24 GB</w:t>
      </w:r>
    </w:p>
    <w:p w14:paraId="738D87BC" w14:textId="36E3415E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Pełna </w:t>
      </w:r>
      <w:r w:rsidRPr="002F4F7C">
        <w:rPr>
          <w:bCs/>
          <w:sz w:val="22"/>
          <w:szCs w:val="22"/>
        </w:rPr>
        <w:t>Specyfikacja</w:t>
      </w:r>
      <w:r>
        <w:rPr>
          <w:bCs/>
          <w:sz w:val="22"/>
          <w:szCs w:val="22"/>
        </w:rPr>
        <w:t xml:space="preserve">: </w:t>
      </w:r>
    </w:p>
    <w:p w14:paraId="05755A87" w14:textId="089701D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Dron</w:t>
      </w:r>
    </w:p>
    <w:p w14:paraId="021EB1D5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Wymiary - Złożony: 214x91x84 mm; Rozłożony: 322x242x84 mm</w:t>
      </w:r>
    </w:p>
    <w:p w14:paraId="6E98E21D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Rozmiar po przekątnej - 354 mm (bez śmigieł)</w:t>
      </w:r>
    </w:p>
    <w:p w14:paraId="7A27530B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Masa - 899 g</w:t>
      </w:r>
    </w:p>
    <w:p w14:paraId="1113184B" w14:textId="60B8A90F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Stabilizacja - 3 osiowa (Pitch, </w:t>
      </w:r>
      <w:proofErr w:type="spellStart"/>
      <w:r w:rsidRPr="002F4F7C">
        <w:rPr>
          <w:bCs/>
          <w:sz w:val="22"/>
          <w:szCs w:val="22"/>
        </w:rPr>
        <w:t>Roll</w:t>
      </w:r>
      <w:proofErr w:type="spellEnd"/>
      <w:r w:rsidRPr="002F4F7C">
        <w:rPr>
          <w:bCs/>
          <w:sz w:val="22"/>
          <w:szCs w:val="22"/>
        </w:rPr>
        <w:t xml:space="preserve">, </w:t>
      </w:r>
      <w:proofErr w:type="spellStart"/>
      <w:r w:rsidRPr="002F4F7C">
        <w:rPr>
          <w:bCs/>
          <w:sz w:val="22"/>
          <w:szCs w:val="22"/>
        </w:rPr>
        <w:t>Yaw</w:t>
      </w:r>
      <w:proofErr w:type="spellEnd"/>
      <w:r w:rsidRPr="002F4F7C">
        <w:rPr>
          <w:bCs/>
          <w:sz w:val="22"/>
          <w:szCs w:val="22"/>
        </w:rPr>
        <w:t>)</w:t>
      </w:r>
    </w:p>
    <w:p w14:paraId="2497BEAE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Pamięć: 24 GB (wbudowana), rozszerzana kartą micro SD do 128 GB</w:t>
      </w:r>
    </w:p>
    <w:p w14:paraId="51CF2E60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Kamera</w:t>
      </w:r>
    </w:p>
    <w:p w14:paraId="04A1251C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Sensor - 1/2.3” CMOS / 12 </w:t>
      </w:r>
      <w:proofErr w:type="spellStart"/>
      <w:r w:rsidRPr="002F4F7C">
        <w:rPr>
          <w:bCs/>
          <w:sz w:val="22"/>
          <w:szCs w:val="22"/>
        </w:rPr>
        <w:t>Megapixeli</w:t>
      </w:r>
      <w:proofErr w:type="spellEnd"/>
    </w:p>
    <w:p w14:paraId="351951EE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Obiektyw - FOV: 82.6° 24 mm; 47.8° 48 mm; odpowiednik formatu 24-48 mm, f/2.8(24 mm) - f/3.8(48 mm)</w:t>
      </w:r>
    </w:p>
    <w:p w14:paraId="09247FC6" w14:textId="426D0EB1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Inteligentny akumulator</w:t>
      </w:r>
    </w:p>
    <w:p w14:paraId="22C0D012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Pojemność - 3850 </w:t>
      </w:r>
      <w:proofErr w:type="spellStart"/>
      <w:r w:rsidRPr="002F4F7C">
        <w:rPr>
          <w:bCs/>
          <w:sz w:val="22"/>
          <w:szCs w:val="22"/>
        </w:rPr>
        <w:t>mAh</w:t>
      </w:r>
      <w:proofErr w:type="spellEnd"/>
    </w:p>
    <w:p w14:paraId="59FAFAE2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Napięcie - 15.4 V</w:t>
      </w:r>
    </w:p>
    <w:p w14:paraId="0C77A0B9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Typ akumulatora - </w:t>
      </w:r>
      <w:proofErr w:type="spellStart"/>
      <w:r w:rsidRPr="002F4F7C">
        <w:rPr>
          <w:bCs/>
          <w:sz w:val="22"/>
          <w:szCs w:val="22"/>
        </w:rPr>
        <w:t>LiPo</w:t>
      </w:r>
      <w:proofErr w:type="spellEnd"/>
    </w:p>
    <w:p w14:paraId="645D8CE8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Energia - 59.29 </w:t>
      </w:r>
      <w:proofErr w:type="spellStart"/>
      <w:r w:rsidRPr="002F4F7C">
        <w:rPr>
          <w:bCs/>
          <w:sz w:val="22"/>
          <w:szCs w:val="22"/>
        </w:rPr>
        <w:t>Wh</w:t>
      </w:r>
      <w:proofErr w:type="spellEnd"/>
    </w:p>
    <w:p w14:paraId="73F386DB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Masa - 297 g</w:t>
      </w:r>
    </w:p>
    <w:p w14:paraId="608972F2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Temperatura pracy: od -10° do 40° C</w:t>
      </w:r>
    </w:p>
    <w:p w14:paraId="140BA3A1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Funkcja samonagrzewania od -10 ℃ do 6 ℃ (praca w niskich temperaturach)</w:t>
      </w:r>
    </w:p>
    <w:p w14:paraId="116B2E24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>Kamera Termowizyjna</w:t>
      </w:r>
    </w:p>
    <w:p w14:paraId="2FC2DC09" w14:textId="276E522D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Obiektyw: FOV: 57°, Przysłona: f / 1.1</w:t>
      </w:r>
    </w:p>
    <w:p w14:paraId="61800B07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Rozdzielczość czujnika: 160 × 120</w:t>
      </w:r>
    </w:p>
    <w:p w14:paraId="0833E982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Rozstaw pikseli: 12 </w:t>
      </w:r>
      <w:proofErr w:type="spellStart"/>
      <w:r w:rsidRPr="002F4F7C">
        <w:rPr>
          <w:bCs/>
          <w:sz w:val="22"/>
          <w:szCs w:val="22"/>
        </w:rPr>
        <w:t>μm</w:t>
      </w:r>
      <w:proofErr w:type="spellEnd"/>
    </w:p>
    <w:p w14:paraId="4A91CB29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Pasmo spektralne: 8-14 </w:t>
      </w:r>
      <w:proofErr w:type="spellStart"/>
      <w:r w:rsidRPr="002F4F7C">
        <w:rPr>
          <w:bCs/>
          <w:sz w:val="22"/>
          <w:szCs w:val="22"/>
        </w:rPr>
        <w:t>μm</w:t>
      </w:r>
      <w:proofErr w:type="spellEnd"/>
    </w:p>
    <w:p w14:paraId="562BC0CE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lastRenderedPageBreak/>
        <w:t xml:space="preserve">    Rozmiar obrazu: 640 × 480 (4: 3); 640 × 360 (16: 9)</w:t>
      </w:r>
    </w:p>
    <w:p w14:paraId="679081AA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Tryby fotografowania: Pojedyncze zdjęcie, zdjęcia seryjne: 3/5/7</w:t>
      </w:r>
    </w:p>
    <w:p w14:paraId="2DCB4700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Tryby nagrywania wideo 640 × 360 @ 8,7fps</w:t>
      </w:r>
    </w:p>
    <w:p w14:paraId="6A6FA895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Dokładność: Wysoka - maks. ± 5%, Niska: maks. ± 10%</w:t>
      </w:r>
    </w:p>
    <w:p w14:paraId="58A3574F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Zakres odczytywanych wartości: wysoka dokładność od -10° do + 140°C, niska dokładność: od -10° do + 400°C</w:t>
      </w:r>
    </w:p>
    <w:p w14:paraId="0D596338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Format zdjęć: JPEG</w:t>
      </w:r>
    </w:p>
    <w:p w14:paraId="394015F0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2F4F7C">
        <w:rPr>
          <w:bCs/>
          <w:sz w:val="22"/>
          <w:szCs w:val="22"/>
        </w:rPr>
        <w:t xml:space="preserve">    Format wideo: MP4, MOV (MPEG-4 AVC / H.264)</w:t>
      </w:r>
    </w:p>
    <w:p w14:paraId="6A9673AC" w14:textId="77777777" w:rsidR="002F4F7C" w:rsidRPr="002F4F7C" w:rsidRDefault="002F4F7C" w:rsidP="002F4F7C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</w:p>
    <w:p w14:paraId="71DDEB86" w14:textId="5A23467C" w:rsidR="00A8345A" w:rsidRDefault="00A8345A" w:rsidP="0032486A">
      <w:pPr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Zestaw powinien zawierać: Dron z dwoma kamerami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Aparatura sterująca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Akumulator x3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Hub do ładowania 4 akumulatorów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 xml:space="preserve">Oświetlenie (M2E </w:t>
      </w:r>
      <w:proofErr w:type="spellStart"/>
      <w:r w:rsidR="00915A16" w:rsidRPr="00915A16">
        <w:rPr>
          <w:bCs/>
          <w:i/>
          <w:sz w:val="22"/>
          <w:szCs w:val="22"/>
        </w:rPr>
        <w:t>Spotlight</w:t>
      </w:r>
      <w:proofErr w:type="spellEnd"/>
      <w:r w:rsidR="00915A16" w:rsidRPr="00915A16">
        <w:rPr>
          <w:bCs/>
          <w:i/>
          <w:sz w:val="22"/>
          <w:szCs w:val="22"/>
        </w:rPr>
        <w:t>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Głośnik (M2E Speaker)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 xml:space="preserve">Dioda ostrzegawcza (M2E </w:t>
      </w:r>
      <w:proofErr w:type="spellStart"/>
      <w:r w:rsidR="00915A16" w:rsidRPr="00915A16">
        <w:rPr>
          <w:bCs/>
          <w:i/>
          <w:sz w:val="22"/>
          <w:szCs w:val="22"/>
        </w:rPr>
        <w:t>Beacon</w:t>
      </w:r>
      <w:proofErr w:type="spellEnd"/>
      <w:r w:rsidR="00915A16" w:rsidRPr="00915A16">
        <w:rPr>
          <w:bCs/>
          <w:i/>
          <w:sz w:val="22"/>
          <w:szCs w:val="22"/>
        </w:rPr>
        <w:t>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Ładowarka sieciowa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Ładowarka samochodowa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5 Pary śmigieł (10 szt.)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 xml:space="preserve">Osłona </w:t>
      </w:r>
      <w:proofErr w:type="spellStart"/>
      <w:r w:rsidR="00915A16" w:rsidRPr="00915A16">
        <w:rPr>
          <w:bCs/>
          <w:i/>
          <w:sz w:val="22"/>
          <w:szCs w:val="22"/>
        </w:rPr>
        <w:t>gimbala</w:t>
      </w:r>
      <w:proofErr w:type="spellEnd"/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Kabel micro USB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 xml:space="preserve">Kabel RC </w:t>
      </w:r>
      <w:proofErr w:type="spellStart"/>
      <w:r w:rsidR="00915A16" w:rsidRPr="00915A16">
        <w:rPr>
          <w:bCs/>
          <w:i/>
          <w:sz w:val="22"/>
          <w:szCs w:val="22"/>
        </w:rPr>
        <w:t>Lightning</w:t>
      </w:r>
      <w:proofErr w:type="spellEnd"/>
      <w:r w:rsidR="00915A16" w:rsidRPr="00915A16">
        <w:rPr>
          <w:bCs/>
          <w:i/>
          <w:sz w:val="22"/>
          <w:szCs w:val="22"/>
        </w:rPr>
        <w:t xml:space="preserve"> (iOS)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Kabel RC USB-C (Android); Kabel zasilający do ładowarki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Adapter (</w:t>
      </w:r>
      <w:proofErr w:type="spellStart"/>
      <w:r w:rsidR="00915A16" w:rsidRPr="00915A16">
        <w:rPr>
          <w:bCs/>
          <w:i/>
          <w:sz w:val="22"/>
          <w:szCs w:val="22"/>
        </w:rPr>
        <w:t>microUSB</w:t>
      </w:r>
      <w:proofErr w:type="spellEnd"/>
      <w:r w:rsidR="00915A16" w:rsidRPr="00915A16">
        <w:rPr>
          <w:bCs/>
          <w:i/>
          <w:sz w:val="22"/>
          <w:szCs w:val="22"/>
        </w:rPr>
        <w:t xml:space="preserve"> do USB -C)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 xml:space="preserve">Adapter </w:t>
      </w:r>
      <w:r w:rsidR="00915A16">
        <w:rPr>
          <w:bCs/>
          <w:i/>
          <w:sz w:val="22"/>
          <w:szCs w:val="22"/>
        </w:rPr>
        <w:t>–</w:t>
      </w:r>
      <w:r w:rsidR="00915A16" w:rsidRPr="00915A16">
        <w:rPr>
          <w:bCs/>
          <w:i/>
          <w:sz w:val="22"/>
          <w:szCs w:val="22"/>
        </w:rPr>
        <w:t xml:space="preserve"> </w:t>
      </w:r>
      <w:proofErr w:type="spellStart"/>
      <w:r w:rsidR="00915A16" w:rsidRPr="00915A16">
        <w:rPr>
          <w:bCs/>
          <w:i/>
          <w:sz w:val="22"/>
          <w:szCs w:val="22"/>
        </w:rPr>
        <w:t>powerbank</w:t>
      </w:r>
      <w:proofErr w:type="spellEnd"/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Zabezpieczenia kabli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Zapasowe drążki nadajnika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Kabel USB-C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Prowadnice kabla aparatury</w:t>
      </w:r>
      <w:r w:rsidR="00915A16">
        <w:rPr>
          <w:bCs/>
          <w:i/>
          <w:sz w:val="22"/>
          <w:szCs w:val="22"/>
        </w:rPr>
        <w:t xml:space="preserve">; </w:t>
      </w:r>
      <w:r w:rsidR="00915A16" w:rsidRPr="00915A16">
        <w:rPr>
          <w:bCs/>
          <w:i/>
          <w:sz w:val="22"/>
          <w:szCs w:val="22"/>
        </w:rPr>
        <w:t>Profesjonalna walizka</w:t>
      </w:r>
    </w:p>
    <w:p w14:paraId="1D58EF09" w14:textId="77777777" w:rsidR="00A8345A" w:rsidRDefault="00A8345A" w:rsidP="0032486A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4DC2017D" w14:textId="55FB1B73" w:rsidR="00A8345A" w:rsidRPr="00A8345A" w:rsidRDefault="00A8345A" w:rsidP="0032486A">
      <w:pPr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  <w:r w:rsidRPr="00BC2504">
        <w:rPr>
          <w:bCs/>
          <w:sz w:val="22"/>
          <w:szCs w:val="22"/>
        </w:rPr>
        <w:t>Sprzęt przykładowy spełniający w/w kryteria:</w:t>
      </w:r>
      <w:r>
        <w:rPr>
          <w:bCs/>
          <w:sz w:val="22"/>
          <w:szCs w:val="22"/>
        </w:rPr>
        <w:t xml:space="preserve"> </w:t>
      </w:r>
      <w:r w:rsidRPr="00A8345A">
        <w:rPr>
          <w:bCs/>
          <w:sz w:val="22"/>
          <w:szCs w:val="22"/>
        </w:rPr>
        <w:t xml:space="preserve">Dron DJI </w:t>
      </w:r>
      <w:proofErr w:type="spellStart"/>
      <w:r w:rsidRPr="00A8345A">
        <w:rPr>
          <w:bCs/>
          <w:sz w:val="22"/>
          <w:szCs w:val="22"/>
        </w:rPr>
        <w:t>Mavic</w:t>
      </w:r>
      <w:proofErr w:type="spellEnd"/>
      <w:r w:rsidRPr="00A8345A">
        <w:rPr>
          <w:bCs/>
          <w:sz w:val="22"/>
          <w:szCs w:val="22"/>
        </w:rPr>
        <w:t xml:space="preserve"> 2 Enterprise Dual Combo Termowizja</w:t>
      </w:r>
      <w:r>
        <w:rPr>
          <w:bCs/>
          <w:sz w:val="22"/>
          <w:szCs w:val="22"/>
        </w:rPr>
        <w:t xml:space="preserve"> wraz z dedykowanymi akcesoriami</w:t>
      </w:r>
    </w:p>
    <w:p w14:paraId="291549DA" w14:textId="126536B5" w:rsidR="0032486A" w:rsidRPr="00A8345A" w:rsidRDefault="0032486A" w:rsidP="0032486A">
      <w:pPr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</w:p>
    <w:p w14:paraId="5090739A" w14:textId="77777777"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7B8DD2FA" w14:textId="536A1D92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</w:t>
      </w:r>
      <w:proofErr w:type="spellStart"/>
      <w:r w:rsidRPr="005A1283">
        <w:rPr>
          <w:bCs/>
          <w:sz w:val="22"/>
          <w:szCs w:val="22"/>
        </w:rPr>
        <w:t>funkcjonalno</w:t>
      </w:r>
      <w:proofErr w:type="spellEnd"/>
      <w:r w:rsidRPr="005A1283">
        <w:rPr>
          <w:bCs/>
          <w:sz w:val="22"/>
          <w:szCs w:val="22"/>
        </w:rPr>
        <w:t xml:space="preserve"> - użytkowych nie gorszych niż te podane w opisie przedmiotu zamówienia.</w:t>
      </w:r>
    </w:p>
    <w:p w14:paraId="0AE3BC3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14:paraId="5DB8DD34" w14:textId="62C226C9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14:paraId="180AEF7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14:paraId="76910DA1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14:paraId="35C4C72F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14:paraId="591A2CEA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14:paraId="5C39FADA" w14:textId="480FA013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52564C">
        <w:rPr>
          <w:b/>
          <w:bCs/>
          <w:sz w:val="22"/>
          <w:szCs w:val="22"/>
        </w:rPr>
        <w:t xml:space="preserve">2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14:paraId="375961FA" w14:textId="77777777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14:paraId="7B10730E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Warunki finansowania zamówienia i istotne warunki zamówienia</w:t>
      </w:r>
    </w:p>
    <w:p w14:paraId="40DBB474" w14:textId="560357C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Zapłata za dostarczony przedmiot odbywać się będzie na podstawie faktury doręczonej Instytutowi Oceanologii Polskiej Akademii Nauk w Sopocie, po podpisaniu przez Zamawiającego bez zastrzeżeń protokołu odbioru przedmiotu umowy. </w:t>
      </w:r>
    </w:p>
    <w:p w14:paraId="47A6AFCA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60B2B69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312BEE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14:paraId="252C6A7A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14:paraId="33FD89A3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14:paraId="2095F85A" w14:textId="77777777"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14:paraId="346548C6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lastRenderedPageBreak/>
        <w:t>Ceną danej oferty jest kwota wyrażona w złotych polskich zawierająca podatek od towarów i usług (VAT).</w:t>
      </w:r>
    </w:p>
    <w:p w14:paraId="2CA590A0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14:paraId="66AA028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330861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14:paraId="3D3A2CFE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14:paraId="7BDCD5C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14:paraId="62021466" w14:textId="5CA705F3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Ofertę należy złożyć w nieprzekraczalnym terminie do dnia </w:t>
      </w:r>
      <w:r w:rsidRPr="00600BA3">
        <w:rPr>
          <w:b/>
          <w:bCs/>
          <w:sz w:val="22"/>
          <w:szCs w:val="22"/>
          <w:u w:val="single"/>
        </w:rPr>
        <w:t>1</w:t>
      </w:r>
      <w:r w:rsidR="0052564C">
        <w:rPr>
          <w:b/>
          <w:bCs/>
          <w:sz w:val="22"/>
          <w:szCs w:val="22"/>
          <w:u w:val="single"/>
        </w:rPr>
        <w:t>5</w:t>
      </w:r>
      <w:r w:rsidRPr="00600BA3">
        <w:rPr>
          <w:b/>
          <w:bCs/>
          <w:sz w:val="22"/>
          <w:szCs w:val="22"/>
          <w:u w:val="single"/>
        </w:rPr>
        <w:t>.</w:t>
      </w:r>
      <w:r w:rsidR="005C29AB" w:rsidRPr="00600BA3">
        <w:rPr>
          <w:b/>
          <w:bCs/>
          <w:sz w:val="22"/>
          <w:szCs w:val="22"/>
          <w:u w:val="single"/>
        </w:rPr>
        <w:t>12.2020 r. do godz. 10</w:t>
      </w:r>
      <w:r w:rsidRPr="00600BA3">
        <w:rPr>
          <w:b/>
          <w:bCs/>
          <w:sz w:val="22"/>
          <w:szCs w:val="22"/>
          <w:u w:val="single"/>
        </w:rPr>
        <w:t>:0</w:t>
      </w:r>
      <w:r w:rsidRPr="005A1283">
        <w:rPr>
          <w:b/>
          <w:bCs/>
          <w:sz w:val="22"/>
          <w:szCs w:val="22"/>
        </w:rPr>
        <w:t xml:space="preserve">0 </w:t>
      </w:r>
      <w:r w:rsidRPr="005A1283">
        <w:rPr>
          <w:bCs/>
          <w:sz w:val="22"/>
          <w:szCs w:val="22"/>
        </w:rPr>
        <w:t xml:space="preserve">pocztą elektroniczną na adres – </w:t>
      </w:r>
      <w:r w:rsidR="0052564C">
        <w:rPr>
          <w:b/>
          <w:bCs/>
          <w:sz w:val="22"/>
          <w:szCs w:val="22"/>
        </w:rPr>
        <w:t>lech</w:t>
      </w:r>
      <w:r w:rsidR="008F12FE">
        <w:rPr>
          <w:b/>
          <w:bCs/>
          <w:sz w:val="22"/>
          <w:szCs w:val="22"/>
        </w:rPr>
        <w:t>k</w:t>
      </w:r>
      <w:r w:rsidRPr="005A1283">
        <w:rPr>
          <w:b/>
          <w:bCs/>
          <w:sz w:val="22"/>
          <w:szCs w:val="22"/>
        </w:rPr>
        <w:t>@iopan.pl</w:t>
      </w:r>
    </w:p>
    <w:p w14:paraId="04D5767C" w14:textId="77777777"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14:paraId="0C2F15F8" w14:textId="65A4F4B3"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proofErr w:type="spellStart"/>
      <w:r w:rsidR="00623C83" w:rsidRPr="00900E07">
        <w:rPr>
          <w:b/>
          <w:bCs/>
          <w:sz w:val="22"/>
          <w:szCs w:val="22"/>
        </w:rPr>
        <w:t>drona</w:t>
      </w:r>
      <w:proofErr w:type="spellEnd"/>
      <w:r w:rsidR="00623C83" w:rsidRPr="00900E07">
        <w:rPr>
          <w:b/>
          <w:bCs/>
          <w:sz w:val="22"/>
          <w:szCs w:val="22"/>
        </w:rPr>
        <w:t xml:space="preserve"> z kamerą termowizyjną</w:t>
      </w:r>
      <w:r w:rsidRPr="005A1283">
        <w:rPr>
          <w:bCs/>
          <w:sz w:val="22"/>
          <w:szCs w:val="22"/>
        </w:rPr>
        <w:t>”.</w:t>
      </w:r>
    </w:p>
    <w:p w14:paraId="18C26F69" w14:textId="33A14730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14:paraId="7A1944BC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14:paraId="366EC946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14:paraId="64DFF723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14:paraId="7F18E921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14:paraId="79B49B02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14:paraId="3AF9258D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1" w:name="mip33167564"/>
      <w:bookmarkStart w:id="2" w:name="mip33167565"/>
      <w:bookmarkStart w:id="3" w:name="mip35518268"/>
      <w:bookmarkStart w:id="4" w:name="mip35518269"/>
      <w:bookmarkStart w:id="5" w:name="mip35518270"/>
      <w:bookmarkStart w:id="6" w:name="mip33167567"/>
      <w:bookmarkStart w:id="7" w:name="mip35518261"/>
      <w:bookmarkStart w:id="8" w:name="mip33167559"/>
      <w:bookmarkStart w:id="9" w:name="mip33167552"/>
      <w:bookmarkStart w:id="10" w:name="mip33167553"/>
      <w:bookmarkStart w:id="11" w:name="mip33167554"/>
      <w:bookmarkStart w:id="12" w:name="mip33167555"/>
      <w:bookmarkStart w:id="13" w:name="mip33167556"/>
      <w:bookmarkStart w:id="14" w:name="mip33167557"/>
      <w:bookmarkStart w:id="15" w:name="mip33167558"/>
      <w:bookmarkStart w:id="16" w:name="mip355182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14:paraId="032266F8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14:paraId="59D4FC4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14:paraId="5ADF14D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14:paraId="3B30A12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14:paraId="53A23AF7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14:paraId="11BCF69E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14:paraId="194DB98F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14:paraId="55D4523A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14:paraId="4D636C8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14:paraId="7A46B79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14:paraId="05FD886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lastRenderedPageBreak/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14:paraId="6A659C0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14:paraId="571F612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14:paraId="69DF003D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14:paraId="2B1913A8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14:paraId="7C13D24B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14:paraId="1F778547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14:paraId="4740BC59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14:paraId="19868E1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14:paraId="5A0576B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14:paraId="1EA9634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14:paraId="6352E8E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14:paraId="7EBE73CE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14:paraId="6B6DB060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14:paraId="6A144D88" w14:textId="77777777"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14:paraId="27EF4196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14:paraId="20B3CF8A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14:paraId="2D2DB5E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7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3C0D" w14:textId="77777777" w:rsidR="007B5F41" w:rsidRDefault="007B5F41">
      <w:r>
        <w:separator/>
      </w:r>
    </w:p>
  </w:endnote>
  <w:endnote w:type="continuationSeparator" w:id="0">
    <w:p w14:paraId="7C025360" w14:textId="77777777" w:rsidR="007B5F41" w:rsidRDefault="007B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A134" w14:textId="5836F059"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00E0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2312" w14:textId="77777777" w:rsidR="007B5F41" w:rsidRDefault="007B5F41">
      <w:r>
        <w:separator/>
      </w:r>
    </w:p>
  </w:footnote>
  <w:footnote w:type="continuationSeparator" w:id="0">
    <w:p w14:paraId="3EE03EBB" w14:textId="77777777" w:rsidR="007B5F41" w:rsidRDefault="007B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80BDD"/>
    <w:rsid w:val="00095E49"/>
    <w:rsid w:val="000B0959"/>
    <w:rsid w:val="000B28DA"/>
    <w:rsid w:val="000B4C61"/>
    <w:rsid w:val="000C022B"/>
    <w:rsid w:val="000C6405"/>
    <w:rsid w:val="000D7086"/>
    <w:rsid w:val="000E096C"/>
    <w:rsid w:val="000E79D9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4D9E"/>
    <w:rsid w:val="001772F3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E22"/>
    <w:rsid w:val="0020118A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0C27"/>
    <w:rsid w:val="003D14E7"/>
    <w:rsid w:val="003D7E76"/>
    <w:rsid w:val="003F2705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899"/>
    <w:rsid w:val="00607D81"/>
    <w:rsid w:val="0062219C"/>
    <w:rsid w:val="00623C83"/>
    <w:rsid w:val="00655A59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5F41"/>
    <w:rsid w:val="007B738B"/>
    <w:rsid w:val="007C53C8"/>
    <w:rsid w:val="007C70C5"/>
    <w:rsid w:val="007C7FB8"/>
    <w:rsid w:val="007D2F16"/>
    <w:rsid w:val="007F014E"/>
    <w:rsid w:val="007F7190"/>
    <w:rsid w:val="008245A4"/>
    <w:rsid w:val="008257D8"/>
    <w:rsid w:val="00833338"/>
    <w:rsid w:val="00833502"/>
    <w:rsid w:val="008341B6"/>
    <w:rsid w:val="00841009"/>
    <w:rsid w:val="0084112A"/>
    <w:rsid w:val="00845832"/>
    <w:rsid w:val="00875F81"/>
    <w:rsid w:val="00883207"/>
    <w:rsid w:val="008A39A0"/>
    <w:rsid w:val="008B483D"/>
    <w:rsid w:val="008C723D"/>
    <w:rsid w:val="008E67F4"/>
    <w:rsid w:val="008E7574"/>
    <w:rsid w:val="008F12FE"/>
    <w:rsid w:val="00900E07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71C91"/>
    <w:rsid w:val="00C77FBC"/>
    <w:rsid w:val="00C85EB0"/>
    <w:rsid w:val="00C86BAB"/>
    <w:rsid w:val="00C97F93"/>
    <w:rsid w:val="00CA1749"/>
    <w:rsid w:val="00CF1D61"/>
    <w:rsid w:val="00D01E17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5FA3"/>
    <w:rsid w:val="00E0771B"/>
    <w:rsid w:val="00E44BA6"/>
    <w:rsid w:val="00E45BCC"/>
    <w:rsid w:val="00E4767E"/>
    <w:rsid w:val="00E567A0"/>
    <w:rsid w:val="00E62D1F"/>
    <w:rsid w:val="00E63001"/>
    <w:rsid w:val="00E724CD"/>
    <w:rsid w:val="00E73DB2"/>
    <w:rsid w:val="00E77E57"/>
    <w:rsid w:val="00E812F6"/>
    <w:rsid w:val="00E82AA2"/>
    <w:rsid w:val="00E86302"/>
    <w:rsid w:val="00EA198F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62FC3"/>
    <w:rsid w:val="00F6408F"/>
    <w:rsid w:val="00F70798"/>
    <w:rsid w:val="00F71EC1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4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xxx</cp:lastModifiedBy>
  <cp:revision>2</cp:revision>
  <cp:lastPrinted>2020-04-08T10:57:00Z</cp:lastPrinted>
  <dcterms:created xsi:type="dcterms:W3CDTF">2020-12-10T20:39:00Z</dcterms:created>
  <dcterms:modified xsi:type="dcterms:W3CDTF">2020-12-10T20:39:00Z</dcterms:modified>
</cp:coreProperties>
</file>